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 w:cs="Garamond"/>
          <w:b/>
          <w:b/>
          <w:lang w:val="es-AR" w:eastAsia="es-AR"/>
        </w:rPr>
      </w:pPr>
      <w:r>
        <w:rPr>
          <w:rFonts w:cs="Garamond" w:ascii="Garamond" w:hAnsi="Garamond"/>
          <w:b/>
          <w:lang w:val="es-AR" w:eastAsia="es-AR"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-242570</wp:posOffset>
            </wp:positionV>
            <wp:extent cx="3429000" cy="57975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jc w:val="right"/>
        <w:rPr/>
      </w:pPr>
      <w:bookmarkStart w:id="0" w:name="__DdeLink__251_3733290906"/>
      <w:r>
        <w:rPr>
          <w:rFonts w:cs="Garamond"/>
          <w:b/>
        </w:rPr>
        <w:t>RESOLUCIÓN Nº 90-C.D/F.D.yCs.Soc./2018</w:t>
      </w:r>
      <w:bookmarkEnd w:id="0"/>
    </w:p>
    <w:p>
      <w:pPr>
        <w:pStyle w:val="Cuerpodetexto"/>
        <w:tabs>
          <w:tab w:val="left" w:pos="1680" w:leader="none"/>
        </w:tabs>
        <w:jc w:val="both"/>
        <w:rPr>
          <w:rFonts w:cs="Garamond"/>
          <w:b/>
          <w:b/>
        </w:rPr>
      </w:pPr>
      <w:r>
        <w:rPr>
          <w:rFonts w:cs="Garamond"/>
          <w:b/>
        </w:rPr>
      </w:r>
    </w:p>
    <w:p>
      <w:pPr>
        <w:pStyle w:val="Cuerpodetexto"/>
        <w:tabs>
          <w:tab w:val="left" w:pos="1680" w:leader="none"/>
        </w:tabs>
        <w:jc w:val="both"/>
        <w:rPr>
          <w:rFonts w:ascii="Times New Roman" w:hAnsi="Times New Roman" w:cs="Garamond"/>
          <w:b/>
          <w:b/>
          <w:sz w:val="24"/>
          <w:szCs w:val="24"/>
        </w:rPr>
      </w:pPr>
      <w:r>
        <w:rPr>
          <w:rFonts w:cs="Garamond"/>
          <w:b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VISTO: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La Resolución Nº 0430- CS- 2018 sobre Aprobación “Reglamento para la Categoría de Estudiante Libre”, de fecha 3 de abril de 2.018; y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CONSIDERANDO: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Que la Resolución Nº 0430-CS-2018 establece la categoría de estudiante libre y en su anexo la reglamenta, entendiéndose  por tal, aquel que no haya obtenido (art. 61º, Cap.IV, Ordenanza de Docencia) o haya perdido la regularidad (art. 62º, Cap. IV, Ordenanza de Docencia)  o  que no haya cursado la materia;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Que la misma reglamentación establece los derechos de esta categoría de estudiantes, el procedimiento administrativo para rendir el exámen final en esta calidad y la modalidad de evaluación;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Que asimismo establece que las asignaturas que podrán ser rendidas en calidad de “libre”, como los turnos de exámen que se habilitarán a tal fin, deberán ser definidos por el Consejo Directivo de cada Unidad Académica;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Que conforme al artículo 63 inciso 3, del Estatuto de la “Universidad Católica de Cuyo, Asociación Civil”, son funciones del Consejo Directivo: </w:t>
      </w:r>
      <w:r>
        <w:rPr>
          <w:rFonts w:ascii="Times New Roman" w:hAnsi="Times New Roman"/>
          <w:i/>
          <w:sz w:val="24"/>
          <w:szCs w:val="24"/>
        </w:rPr>
        <w:t>Dictar las normativas específicas de su competencia para el Gobierno de la Unidad Académica;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Que luego de efectuado un análisis de los contenidos de las asignaturas que integran los planes de estudios de las carreras que dicta la unidad académica y teniendo en consideración los dictámenes emitidos por los Directores y Coordinadores de cada carrera, este Consejo ha merituado la conveniencia y pertinencia del “régimen libre” en relación con cada una de las materias, su carácter práctico e implicancia directa con el perfil de egresado que busca forma la institución en cada disciplina; 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Que en virtud de ello y en uso de esas facultades estatutarias, </w:t>
      </w:r>
    </w:p>
    <w:p>
      <w:pPr>
        <w:pStyle w:val="Normal"/>
        <w:jc w:val="center"/>
        <w:rPr>
          <w:rFonts w:cs="Bitstream Charter;MS PMincho"/>
          <w:b/>
          <w:b/>
        </w:rPr>
      </w:pPr>
      <w:r>
        <w:rPr>
          <w:rFonts w:cs="Bitstream Charter;MS PMincho"/>
          <w:b/>
        </w:rPr>
      </w:r>
    </w:p>
    <w:p>
      <w:pPr>
        <w:pStyle w:val="Normal"/>
        <w:jc w:val="center"/>
        <w:rPr/>
      </w:pPr>
      <w:r>
        <w:rPr>
          <w:rFonts w:cs="Bitstream Charter;MS PMincho"/>
          <w:b/>
        </w:rPr>
        <w:t>EL CONSEJO DIRECTIVO</w:t>
      </w:r>
    </w:p>
    <w:p>
      <w:pPr>
        <w:pStyle w:val="Normal"/>
        <w:jc w:val="center"/>
        <w:rPr/>
      </w:pPr>
      <w:r>
        <w:rPr>
          <w:rFonts w:cs="Bitstream Charter;MS PMincho"/>
          <w:b/>
        </w:rPr>
        <w:t>DE LA FACULTAD DE DERECHO Y CIENCIAS SOCIALES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Bitstream Charter;MS PMincho"/>
          <w:b/>
          <w:bCs/>
          <w:position w:val="0"/>
          <w:sz w:val="24"/>
          <w:sz w:val="24"/>
          <w:szCs w:val="24"/>
          <w:vertAlign w:val="baseline"/>
        </w:rPr>
        <w:t>RESUELVE:</w:t>
      </w:r>
    </w:p>
    <w:p>
      <w:pPr>
        <w:pStyle w:val="Standard"/>
        <w:spacing w:lineRule="auto" w:line="360"/>
        <w:jc w:val="both"/>
        <w:rPr>
          <w:b/>
          <w:b/>
          <w:bCs/>
          <w:position w:val="0"/>
          <w:sz w:val="24"/>
          <w:sz w:val="24"/>
          <w:vertAlign w:val="baseline"/>
        </w:rPr>
      </w:pPr>
      <w:r>
        <w:rPr>
          <w:b/>
          <w:bCs/>
          <w:position w:val="0"/>
          <w:sz w:val="24"/>
          <w:sz w:val="24"/>
          <w:vertAlign w:val="baseline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1º</w:t>
      </w:r>
      <w:r>
        <w:rPr>
          <w:rFonts w:ascii="Times New Roman" w:hAnsi="Times New Roman"/>
          <w:sz w:val="24"/>
          <w:szCs w:val="24"/>
        </w:rPr>
        <w:t>:  DISPONER que podrán rendirse en en calidad de “libre” las siguientes materias de la carrera de ABOGACÍA: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Primer año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quedan comprendidas en este régimen.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Segundo año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Introducción al Derecho Comercial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Sociología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Títulos de Crédito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Derecho Político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Tercer año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quedan comprendidas en este régimen.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Cuarto año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Derecho Canónico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Derecho Minero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Derecho de la Seguridad Social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Quinto año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Derecho Tributario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Economía Política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Informática Jurídica 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Derecho Agrario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Historia del Derecho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Idioma extranjero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2º:</w:t>
      </w:r>
      <w:r>
        <w:rPr>
          <w:rFonts w:ascii="Times New Roman" w:hAnsi="Times New Roman"/>
          <w:sz w:val="24"/>
          <w:szCs w:val="24"/>
        </w:rPr>
        <w:t xml:space="preserve"> DISPONER que p</w:t>
      </w:r>
      <w:bookmarkStart w:id="1" w:name="__DdeLink__365_22121743171"/>
      <w:r>
        <w:rPr>
          <w:rFonts w:ascii="Times New Roman" w:hAnsi="Times New Roman"/>
          <w:sz w:val="24"/>
          <w:szCs w:val="24"/>
        </w:rPr>
        <w:t>odrán rendirse en calidad de “libre” las siguientes materias de la carrera de la carrera de CORREDOR DE COMERCIO Y MARTILLERO PÚBLICO:</w:t>
      </w:r>
      <w:bookmarkEnd w:id="1"/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Historia de la Cultura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Informática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Fundamentos de Economía 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Artículo 3º: </w:t>
      </w:r>
      <w:r>
        <w:rPr>
          <w:rFonts w:ascii="Times New Roman" w:hAnsi="Times New Roman"/>
          <w:b w:val="false"/>
          <w:bCs w:val="false"/>
          <w:sz w:val="24"/>
          <w:szCs w:val="24"/>
        </w:rPr>
        <w:t>DISPONER que podrán rendirse en calidad de “libre” las siguientes materias de la carrera de la carrera de TECNICATURA UNIVERSITARIA EN HIGIENE Y SEGURIDAD EN EL TRABAJO: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  <w:t>Primer Año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Organización Industrial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Relaciones Humanas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Segundo Año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Sociología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Tercer Año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Derecho del Trabajo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Ética y Responsabilidad Social Empresaria</w:t>
      </w:r>
    </w:p>
    <w:p>
      <w:pPr>
        <w:pStyle w:val="Standard"/>
        <w:spacing w:lineRule="auto" w:line="36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Standard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Artículo 4º:</w:t>
      </w:r>
      <w:r>
        <w:rPr>
          <w:rFonts w:ascii="Times New Roman" w:hAnsi="Times New Roman"/>
          <w:sz w:val="24"/>
          <w:szCs w:val="24"/>
        </w:rPr>
        <w:t xml:space="preserve"> Según lo dictaminado por el Departamento de Cultura Religiosa, las asignaturas formativas quedan exclu</w:t>
      </w:r>
      <w:r>
        <w:rPr>
          <w:rFonts w:ascii="Times New Roman" w:hAnsi="Times New Roman"/>
          <w:sz w:val="24"/>
          <w:szCs w:val="24"/>
        </w:rPr>
        <w:t>ídas</w:t>
      </w:r>
      <w:r>
        <w:rPr>
          <w:rFonts w:ascii="Times New Roman" w:hAnsi="Times New Roman"/>
          <w:sz w:val="24"/>
          <w:szCs w:val="24"/>
        </w:rPr>
        <w:t xml:space="preserve"> del régimen académico libre, con excepción de aquellos casos en que el alumno hubiese cursado la materia con anterioridad, al menos una vez.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jc w:val="both"/>
        <w:rPr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Artículo 5º</w:t>
      </w:r>
      <w:r>
        <w:rPr>
          <w:rFonts w:ascii="Times New Roman" w:hAnsi="Times New Roman"/>
          <w:sz w:val="24"/>
          <w:szCs w:val="24"/>
          <w:highlight w:val="white"/>
        </w:rPr>
        <w:t xml:space="preserve">: Establecer como turnos de exámenes para rendir las asignaturas indicadas en los artículos precedentes los turnos de Mayo </w:t>
      </w:r>
      <w:r>
        <w:rPr>
          <w:rFonts w:ascii="Times New Roman" w:hAnsi="Times New Roman"/>
          <w:sz w:val="24"/>
          <w:szCs w:val="24"/>
          <w:highlight w:val="white"/>
        </w:rPr>
        <w:t xml:space="preserve">y </w:t>
      </w:r>
      <w:r>
        <w:rPr>
          <w:rFonts w:ascii="Times New Roman" w:hAnsi="Times New Roman"/>
          <w:sz w:val="24"/>
          <w:szCs w:val="24"/>
          <w:highlight w:val="white"/>
        </w:rPr>
        <w:t xml:space="preserve"> Septiembre.</w:t>
      </w:r>
    </w:p>
    <w:p>
      <w:pPr>
        <w:pStyle w:val="Standard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6º:</w:t>
      </w:r>
      <w:r>
        <w:rPr>
          <w:rFonts w:ascii="Times New Roman" w:hAnsi="Times New Roman"/>
          <w:sz w:val="24"/>
          <w:szCs w:val="24"/>
        </w:rPr>
        <w:t xml:space="preserve"> Notifíquese y cumplido, archívese.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ind w:left="56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Luis, 10 de abril de 2.018</w:t>
      </w:r>
    </w:p>
    <w:p>
      <w:pPr>
        <w:pStyle w:val="Normal"/>
        <w:tabs>
          <w:tab w:val="left" w:pos="1440" w:leader="none"/>
        </w:tabs>
        <w:rPr>
          <w:rFonts w:cs="Garamond"/>
          <w:sz w:val="18"/>
          <w:szCs w:val="18"/>
          <w:lang w:val="en-US"/>
        </w:rPr>
      </w:pPr>
      <w:r>
        <w:rPr>
          <w:rFonts w:cs="Garamond"/>
          <w:sz w:val="18"/>
          <w:szCs w:val="18"/>
          <w:lang w:val="en-US"/>
        </w:rPr>
      </w:r>
    </w:p>
    <w:p>
      <w:pPr>
        <w:pStyle w:val="Normal"/>
        <w:tabs>
          <w:tab w:val="left" w:pos="1440" w:leader="none"/>
        </w:tabs>
        <w:rPr/>
      </w:pPr>
      <w:r>
        <w:rPr>
          <w:rFonts w:cs="Garamond"/>
          <w:sz w:val="18"/>
          <w:szCs w:val="18"/>
          <w:lang w:val="en-US"/>
        </w:rPr>
        <w:t>Fdo.:</w:t>
      </w:r>
    </w:p>
    <w:p>
      <w:pPr>
        <w:pStyle w:val="Normal"/>
        <w:tabs>
          <w:tab w:val="left" w:pos="1440" w:leader="none"/>
        </w:tabs>
        <w:rPr/>
      </w:pPr>
      <w:r>
        <w:rPr>
          <w:rFonts w:cs="Garamond"/>
          <w:sz w:val="18"/>
          <w:szCs w:val="18"/>
          <w:lang w:val="en-US"/>
        </w:rPr>
        <w:t>Decana</w:t>
      </w:r>
    </w:p>
    <w:p>
      <w:pPr>
        <w:pStyle w:val="Normal"/>
        <w:tabs>
          <w:tab w:val="left" w:pos="1440" w:leader="none"/>
        </w:tabs>
        <w:ind w:left="1440" w:hanging="1440"/>
        <w:jc w:val="both"/>
        <w:rPr/>
      </w:pPr>
      <w:r>
        <w:rPr>
          <w:rFonts w:cs="Garamond"/>
          <w:b/>
          <w:i/>
          <w:sz w:val="18"/>
          <w:szCs w:val="18"/>
          <w:lang w:val="en-US"/>
        </w:rPr>
        <w:t>Melina Maluf Martínez</w:t>
      </w:r>
    </w:p>
    <w:p>
      <w:pPr>
        <w:pStyle w:val="Normal"/>
        <w:tabs>
          <w:tab w:val="left" w:pos="1440" w:leader="none"/>
        </w:tabs>
        <w:ind w:left="1440" w:hanging="1440"/>
        <w:jc w:val="both"/>
        <w:rPr/>
      </w:pPr>
      <w:r>
        <w:rPr>
          <w:rFonts w:cs="Garamond"/>
          <w:sz w:val="18"/>
          <w:szCs w:val="18"/>
          <w:lang w:val="en-US"/>
        </w:rPr>
        <w:t>Consejeros</w:t>
      </w:r>
    </w:p>
    <w:p>
      <w:pPr>
        <w:pStyle w:val="Normal"/>
        <w:tabs>
          <w:tab w:val="left" w:pos="1440" w:leader="none"/>
        </w:tabs>
        <w:ind w:left="1440" w:hanging="1440"/>
        <w:jc w:val="both"/>
        <w:rPr/>
      </w:pPr>
      <w:r>
        <w:rPr>
          <w:rFonts w:cs="Garamond"/>
          <w:b/>
          <w:i/>
          <w:sz w:val="18"/>
          <w:szCs w:val="18"/>
          <w:lang w:val="en-US"/>
        </w:rPr>
        <w:t>Jorge Sabaini Zapata</w:t>
      </w:r>
    </w:p>
    <w:p>
      <w:pPr>
        <w:pStyle w:val="Normal"/>
        <w:tabs>
          <w:tab w:val="left" w:pos="1440" w:leader="none"/>
        </w:tabs>
        <w:ind w:left="1440" w:hanging="1440"/>
        <w:jc w:val="both"/>
        <w:rPr/>
      </w:pPr>
      <w:r>
        <w:rPr>
          <w:rFonts w:cs="Garamond"/>
          <w:b/>
          <w:i/>
          <w:sz w:val="18"/>
          <w:szCs w:val="18"/>
          <w:lang w:val="en-US"/>
        </w:rPr>
        <w:t>Mónica Viviana Corvalán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Garamond"/>
          <w:b/>
          <w:i/>
          <w:sz w:val="18"/>
          <w:szCs w:val="18"/>
          <w:lang w:val="en-US"/>
        </w:rPr>
        <w:t>Beatriz Saad</w:t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Garamond"/>
          <w:b/>
          <w:i/>
          <w:sz w:val="18"/>
          <w:szCs w:val="18"/>
          <w:lang w:val="en-US"/>
        </w:rPr>
        <w:t>Pedro Saenz</w:t>
      </w:r>
    </w:p>
    <w:p>
      <w:pPr>
        <w:pStyle w:val="Normal"/>
        <w:jc w:val="both"/>
        <w:rPr/>
      </w:pPr>
      <w:r>
        <w:rPr>
          <w:rFonts w:cs="Garamond"/>
          <w:sz w:val="18"/>
          <w:szCs w:val="18"/>
        </w:rPr>
        <w:t>Secretaria</w:t>
      </w:r>
    </w:p>
    <w:p>
      <w:pPr>
        <w:pStyle w:val="Normal"/>
        <w:jc w:val="both"/>
        <w:rPr/>
      </w:pPr>
      <w:r>
        <w:rPr>
          <w:rFonts w:cs="Garamond"/>
          <w:b/>
          <w:i/>
          <w:sz w:val="18"/>
          <w:szCs w:val="18"/>
        </w:rPr>
        <w:t xml:space="preserve">Ivana Carina Fernández </w:t>
      </w:r>
    </w:p>
    <w:p>
      <w:pPr>
        <w:pStyle w:val="Normal"/>
        <w:spacing w:lineRule="auto" w:line="276" w:before="0" w:after="0"/>
        <w:ind w:left="1440" w:hanging="1440"/>
        <w:jc w:val="both"/>
        <w:rPr>
          <w:rFonts w:cs="Arial"/>
          <w:b/>
          <w:b/>
          <w:bCs/>
          <w:color w:val="000000"/>
          <w:highlight w:val="white"/>
          <w:u w:val="none"/>
        </w:rPr>
      </w:pPr>
      <w:r>
        <w:rPr>
          <w:rFonts w:cs="Arial"/>
          <w:b/>
          <w:bCs/>
          <w:color w:val="000000"/>
          <w:highlight w:val="white"/>
          <w:u w:val="none"/>
        </w:rPr>
      </w:r>
    </w:p>
    <w:p>
      <w:pPr>
        <w:pStyle w:val="Standard"/>
        <w:spacing w:lineRule="auto" w:line="276"/>
        <w:ind w:hanging="0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  <w:u w:val="none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u w:val="none"/>
        </w:rPr>
      </w:r>
    </w:p>
    <w:p>
      <w:pPr>
        <w:pStyle w:val="Standard"/>
        <w:spacing w:lineRule="auto" w:line="276"/>
        <w:ind w:hanging="0"/>
        <w:jc w:val="both"/>
        <w:rPr>
          <w:rFonts w:ascii="Arial" w:hAnsi="Arial"/>
          <w:b/>
          <w:b/>
          <w:bCs/>
          <w:sz w:val="22"/>
          <w:szCs w:val="22"/>
          <w:highlight w:val="yellow"/>
          <w:u w:val="none"/>
        </w:rPr>
      </w:pPr>
      <w:r>
        <w:rPr>
          <w:rFonts w:ascii="Arial" w:hAnsi="Arial"/>
          <w:b/>
          <w:bCs/>
          <w:sz w:val="22"/>
          <w:szCs w:val="22"/>
          <w:highlight w:val="yellow"/>
          <w:u w:val="none"/>
        </w:rPr>
      </w:r>
    </w:p>
    <w:p>
      <w:pPr>
        <w:pStyle w:val="Standard"/>
        <w:spacing w:lineRule="auto" w:line="276"/>
        <w:ind w:hanging="0"/>
        <w:jc w:val="both"/>
        <w:rPr>
          <w:rFonts w:ascii="Arial" w:hAnsi="Arial"/>
          <w:b/>
          <w:b/>
          <w:bCs/>
          <w:sz w:val="22"/>
          <w:szCs w:val="22"/>
          <w:highlight w:val="yellow"/>
          <w:u w:val="none"/>
        </w:rPr>
      </w:pPr>
      <w:r>
        <w:rPr>
          <w:rFonts w:ascii="Arial" w:hAnsi="Arial"/>
          <w:b/>
          <w:bCs/>
          <w:sz w:val="22"/>
          <w:szCs w:val="22"/>
          <w:highlight w:val="yellow"/>
          <w:u w:val="none"/>
        </w:rPr>
      </w:r>
    </w:p>
    <w:p>
      <w:pPr>
        <w:pStyle w:val="Standard"/>
        <w:spacing w:lineRule="auto" w:line="276"/>
        <w:ind w:hanging="0"/>
        <w:jc w:val="both"/>
        <w:rPr>
          <w:rFonts w:ascii="Arial" w:hAnsi="Arial"/>
          <w:b/>
          <w:b/>
          <w:bCs/>
          <w:sz w:val="22"/>
          <w:szCs w:val="22"/>
          <w:highlight w:val="yellow"/>
          <w:u w:val="none"/>
        </w:rPr>
      </w:pPr>
      <w:r>
        <w:rPr>
          <w:rFonts w:ascii="Arial" w:hAnsi="Arial"/>
          <w:b/>
          <w:bCs/>
          <w:sz w:val="22"/>
          <w:szCs w:val="22"/>
          <w:highlight w:val="yellow"/>
          <w:u w:val="none"/>
        </w:rPr>
      </w:r>
    </w:p>
    <w:p>
      <w:pPr>
        <w:pStyle w:val="Standard"/>
        <w:spacing w:lineRule="auto" w:line="360"/>
        <w:ind w:hanging="0"/>
        <w:jc w:val="both"/>
        <w:rPr>
          <w:rFonts w:ascii="Arial" w:hAnsi="Arial"/>
          <w:b/>
          <w:b/>
          <w:bCs/>
        </w:rPr>
      </w:pPr>
      <w:r>
        <w:rPr/>
      </w:r>
    </w:p>
    <w:p>
      <w:pPr>
        <w:pStyle w:val="Standard"/>
        <w:spacing w:lineRule="auto" w:line="360"/>
        <w:ind w:hanging="0"/>
        <w:jc w:val="both"/>
        <w:rPr>
          <w:rFonts w:ascii="Arial" w:hAnsi="Arial"/>
          <w:b/>
          <w:b/>
          <w:bCs/>
        </w:rPr>
      </w:pPr>
      <w:r>
        <w:rPr/>
      </w:r>
    </w:p>
    <w:p>
      <w:pPr>
        <w:pStyle w:val="Standard"/>
        <w:spacing w:lineRule="auto" w:line="360"/>
        <w:ind w:hanging="0"/>
        <w:jc w:val="both"/>
        <w:rPr>
          <w:rFonts w:ascii="Arial" w:hAnsi="Arial"/>
          <w:b/>
          <w:b/>
          <w:bCs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9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126944"/>
    <w:rPr>
      <w:rFonts w:ascii="Times New Roman" w:hAnsi="Times New Roman" w:eastAsia="Times New Roman" w:cs="Times New Roman"/>
      <w:sz w:val="24"/>
      <w:szCs w:val="24"/>
      <w:lang w:val="es-ES" w:eastAsia="zh-CN"/>
    </w:rPr>
  </w:style>
  <w:style w:type="character" w:styleId="ListLabel52">
    <w:name w:val="ListLabel 52"/>
    <w:qFormat/>
    <w:rPr>
      <w:rFonts w:ascii="Arial" w:hAnsi="Arial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Ttulo">
    <w:name w:val="Título"/>
    <w:basedOn w:val="Normal"/>
    <w:next w:val="Cuerpodetexto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s-AR" w:eastAsia="en-US" w:bidi="ar-SA"/>
    </w:rPr>
  </w:style>
  <w:style w:type="paragraph" w:styleId="Cuerpodetexto">
    <w:name w:val="Body Text"/>
    <w:basedOn w:val="Normal"/>
    <w:link w:val="TextoindependienteCar"/>
    <w:rsid w:val="00126944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1">
    <w:name w:val="Encabezado 1"/>
    <w:basedOn w:val="Encabezado"/>
    <w:qFormat/>
    <w:pPr/>
    <w:rPr/>
  </w:style>
  <w:style w:type="paragraph" w:styleId="Encabezado2">
    <w:name w:val="Encabezado 2"/>
    <w:basedOn w:val="Encabezado"/>
    <w:qFormat/>
    <w:pPr/>
    <w:rPr/>
  </w:style>
  <w:style w:type="paragraph" w:styleId="Encabezado3">
    <w:name w:val="Encabezado 3"/>
    <w:basedOn w:val="Encabezado"/>
    <w:qFormat/>
    <w:pPr/>
    <w:rPr/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Encabezado11" w:customStyle="1">
    <w:name w:val="Encabezado1"/>
    <w:basedOn w:val="Normal"/>
    <w:qFormat/>
    <w:rsid w:val="00126944"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ita">
    <w:name w:val="Cita"/>
    <w:basedOn w:val="Normal"/>
    <w:qFormat/>
    <w:pPr/>
    <w:rPr/>
  </w:style>
  <w:style w:type="paragraph" w:styleId="Subttulo">
    <w:name w:val="Subtitle"/>
    <w:basedOn w:val="Encabezado"/>
    <w:qFormat/>
    <w:pPr/>
    <w:rPr/>
  </w:style>
  <w:style w:type="paragraph" w:styleId="Standard">
    <w:name w:val="Standard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s-AR" w:eastAsia="zh-CN" w:bidi="hi-IN"/>
    </w:rPr>
  </w:style>
  <w:style w:type="paragraph" w:styleId="Predeterminado">
    <w:name w:val="Predeterminado"/>
    <w:qFormat/>
    <w:pPr>
      <w:widowControl/>
      <w:tabs>
        <w:tab w:val="left" w:pos="708" w:leader="none"/>
      </w:tabs>
      <w:bidi w:val="0"/>
      <w:spacing w:lineRule="auto" w:line="247" w:before="0" w:after="16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LibreOffice/6.0.4.2$Linux_X86_64 LibreOffice_project/00m0$Build-2</Application>
  <Pages>3</Pages>
  <Words>551</Words>
  <Characters>2981</Characters>
  <CharactersWithSpaces>3512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2016-02-23T12:13:00Z</dcterms:created>
  <dc:creator>Usuario</dc:creator>
  <dc:description/>
  <dc:language>es-AR</dc:language>
  <cp:lastModifiedBy/>
  <cp:lastPrinted>2016-07-29T17:55:36Z</cp:lastPrinted>
  <dcterms:modified xsi:type="dcterms:W3CDTF">2018-06-25T20:31:17Z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